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222E" w14:textId="1FC94327" w:rsidR="00A43B08" w:rsidRPr="00A43B08" w:rsidRDefault="00A43B08" w:rsidP="002803DA">
      <w:pPr>
        <w:jc w:val="center"/>
        <w:rPr>
          <w:rFonts w:ascii="Times" w:hAnsi="Times"/>
          <w:b/>
          <w:bCs/>
          <w:sz w:val="40"/>
          <w:szCs w:val="40"/>
        </w:rPr>
      </w:pPr>
      <w:r w:rsidRPr="00A43B08">
        <w:rPr>
          <w:rFonts w:ascii="Times" w:hAnsi="Times"/>
          <w:b/>
          <w:bCs/>
          <w:sz w:val="40"/>
          <w:szCs w:val="40"/>
        </w:rPr>
        <w:t>HB 852</w:t>
      </w:r>
    </w:p>
    <w:p w14:paraId="4BA55935" w14:textId="45202506" w:rsidR="003D4F73" w:rsidRPr="002803DA" w:rsidRDefault="002700CC" w:rsidP="002803DA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Streamline the Good Samaritan Law</w:t>
      </w:r>
    </w:p>
    <w:p w14:paraId="50363D9B" w14:textId="4BE64BE8" w:rsidR="002803DA" w:rsidRPr="002803DA" w:rsidRDefault="002803DA" w:rsidP="002803DA">
      <w:pPr>
        <w:jc w:val="center"/>
        <w:rPr>
          <w:rFonts w:ascii="Times" w:hAnsi="Times"/>
          <w:sz w:val="24"/>
          <w:szCs w:val="24"/>
        </w:rPr>
      </w:pPr>
    </w:p>
    <w:p w14:paraId="5CFAF2FF" w14:textId="6277A163" w:rsidR="002803DA" w:rsidRPr="002700CC" w:rsidRDefault="00720CF3" w:rsidP="002803DA">
      <w:pPr>
        <w:jc w:val="center"/>
        <w:rPr>
          <w:rFonts w:ascii="Times" w:hAnsi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NC drug</w:t>
      </w:r>
      <w:r w:rsidR="002803DA" w:rsidRPr="002700CC">
        <w:rPr>
          <w:rFonts w:ascii="Times" w:hAnsi="Times"/>
          <w:i/>
          <w:iCs/>
          <w:sz w:val="24"/>
          <w:szCs w:val="24"/>
        </w:rPr>
        <w:t xml:space="preserve"> overdose rates </w:t>
      </w:r>
      <w:r>
        <w:rPr>
          <w:rFonts w:ascii="Times" w:hAnsi="Times"/>
          <w:i/>
          <w:iCs/>
          <w:sz w:val="24"/>
          <w:szCs w:val="24"/>
        </w:rPr>
        <w:t>were already</w:t>
      </w:r>
      <w:r w:rsidR="002803DA" w:rsidRPr="002700CC">
        <w:rPr>
          <w:rFonts w:ascii="Times" w:hAnsi="Times"/>
          <w:i/>
          <w:iCs/>
          <w:sz w:val="24"/>
          <w:szCs w:val="24"/>
        </w:rPr>
        <w:t xml:space="preserve"> high</w:t>
      </w:r>
      <w:r w:rsidR="00107272">
        <w:rPr>
          <w:rFonts w:ascii="Times" w:hAnsi="Times"/>
          <w:i/>
          <w:iCs/>
          <w:sz w:val="24"/>
          <w:szCs w:val="24"/>
        </w:rPr>
        <w:t xml:space="preserve"> and</w:t>
      </w:r>
      <w:r w:rsidR="00B04644">
        <w:rPr>
          <w:rFonts w:ascii="Times" w:hAnsi="Times"/>
          <w:i/>
          <w:iCs/>
          <w:sz w:val="24"/>
          <w:szCs w:val="24"/>
        </w:rPr>
        <w:t xml:space="preserve"> have</w:t>
      </w:r>
      <w:r w:rsidR="002803DA" w:rsidRPr="002700CC">
        <w:rPr>
          <w:rFonts w:ascii="Times" w:hAnsi="Times"/>
          <w:i/>
          <w:iCs/>
          <w:sz w:val="24"/>
          <w:szCs w:val="24"/>
        </w:rPr>
        <w:t xml:space="preserve"> </w:t>
      </w:r>
      <w:r w:rsidR="0039170A" w:rsidRPr="002700CC">
        <w:rPr>
          <w:rFonts w:ascii="Times" w:hAnsi="Times"/>
          <w:i/>
          <w:iCs/>
          <w:sz w:val="24"/>
          <w:szCs w:val="24"/>
        </w:rPr>
        <w:t>skyrocketed</w:t>
      </w:r>
      <w:r w:rsidR="002803DA" w:rsidRPr="002700CC">
        <w:rPr>
          <w:rFonts w:ascii="Times" w:hAnsi="Times"/>
          <w:i/>
          <w:iCs/>
          <w:sz w:val="24"/>
          <w:szCs w:val="24"/>
        </w:rPr>
        <w:t xml:space="preserve"> during COVID; we need all tools in the toolbox in our fight to save lives, </w:t>
      </w:r>
      <w:r w:rsidR="002700CC" w:rsidRPr="002700CC">
        <w:rPr>
          <w:rFonts w:ascii="Times" w:hAnsi="Times"/>
          <w:i/>
          <w:iCs/>
          <w:sz w:val="24"/>
          <w:szCs w:val="24"/>
        </w:rPr>
        <w:t>including a better</w:t>
      </w:r>
      <w:r w:rsidR="002803DA" w:rsidRPr="002700CC">
        <w:rPr>
          <w:rFonts w:ascii="Times" w:hAnsi="Times"/>
          <w:i/>
          <w:iCs/>
          <w:sz w:val="24"/>
          <w:szCs w:val="24"/>
        </w:rPr>
        <w:t xml:space="preserve"> Good Samaritan law. </w:t>
      </w:r>
    </w:p>
    <w:p w14:paraId="2716A869" w14:textId="2B4798D1" w:rsidR="002803DA" w:rsidRPr="002803DA" w:rsidRDefault="002803DA" w:rsidP="002803DA">
      <w:pPr>
        <w:jc w:val="center"/>
        <w:rPr>
          <w:rFonts w:ascii="Times" w:hAnsi="Times"/>
          <w:sz w:val="24"/>
          <w:szCs w:val="24"/>
        </w:rPr>
      </w:pPr>
    </w:p>
    <w:p w14:paraId="0F5EC375" w14:textId="77777777" w:rsidR="00107272" w:rsidRDefault="00107272" w:rsidP="002803DA">
      <w:pPr>
        <w:rPr>
          <w:rFonts w:ascii="Times" w:hAnsi="Times"/>
          <w:b/>
          <w:bCs/>
          <w:sz w:val="24"/>
          <w:szCs w:val="24"/>
          <w:u w:val="single"/>
        </w:rPr>
      </w:pPr>
    </w:p>
    <w:p w14:paraId="72F3CFDB" w14:textId="23F52A26" w:rsidR="002803DA" w:rsidRPr="00F54160" w:rsidRDefault="002803DA" w:rsidP="002803DA">
      <w:pPr>
        <w:rPr>
          <w:rFonts w:ascii="Times" w:hAnsi="Times"/>
          <w:b/>
          <w:bCs/>
          <w:sz w:val="24"/>
          <w:szCs w:val="24"/>
          <w:u w:val="single"/>
        </w:rPr>
      </w:pPr>
      <w:r w:rsidRPr="00F54160">
        <w:rPr>
          <w:rFonts w:ascii="Times" w:hAnsi="Times"/>
          <w:b/>
          <w:bCs/>
          <w:sz w:val="24"/>
          <w:szCs w:val="24"/>
          <w:u w:val="single"/>
        </w:rPr>
        <w:t>Problem</w:t>
      </w:r>
    </w:p>
    <w:p w14:paraId="71455E1C" w14:textId="1A3314FB" w:rsidR="002700CC" w:rsidRDefault="002803DA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 w:rsidRPr="002700CC">
        <w:rPr>
          <w:rFonts w:ascii="Times" w:hAnsi="Times"/>
          <w:sz w:val="24"/>
          <w:szCs w:val="24"/>
        </w:rPr>
        <w:t xml:space="preserve">Our Good Samaritan (“call 911 in case of a drug overdose”) law is one of the most limited </w:t>
      </w:r>
      <w:r w:rsidR="00107272">
        <w:rPr>
          <w:rFonts w:ascii="Times" w:hAnsi="Times"/>
          <w:sz w:val="24"/>
          <w:szCs w:val="24"/>
        </w:rPr>
        <w:t xml:space="preserve">Good Samaritan </w:t>
      </w:r>
      <w:r w:rsidRPr="002700CC">
        <w:rPr>
          <w:rFonts w:ascii="Times" w:hAnsi="Times"/>
          <w:sz w:val="24"/>
          <w:szCs w:val="24"/>
        </w:rPr>
        <w:t xml:space="preserve">laws in the country. </w:t>
      </w:r>
    </w:p>
    <w:p w14:paraId="459A8CEF" w14:textId="33A99930" w:rsidR="002700CC" w:rsidRDefault="002803DA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 w:rsidRPr="002700CC">
        <w:rPr>
          <w:rFonts w:ascii="Times" w:hAnsi="Times"/>
          <w:sz w:val="24"/>
          <w:szCs w:val="24"/>
        </w:rPr>
        <w:t xml:space="preserve">We cannot advertise </w:t>
      </w:r>
      <w:r w:rsidR="004D21B2">
        <w:rPr>
          <w:rFonts w:ascii="Times" w:hAnsi="Times"/>
          <w:sz w:val="24"/>
          <w:szCs w:val="24"/>
        </w:rPr>
        <w:t>the law</w:t>
      </w:r>
      <w:r w:rsidRPr="002700CC">
        <w:rPr>
          <w:rFonts w:ascii="Times" w:hAnsi="Times"/>
          <w:sz w:val="24"/>
          <w:szCs w:val="24"/>
        </w:rPr>
        <w:t xml:space="preserve"> because it</w:t>
      </w:r>
      <w:r w:rsidR="004D21B2">
        <w:rPr>
          <w:rFonts w:ascii="Times" w:hAnsi="Times"/>
          <w:sz w:val="24"/>
          <w:szCs w:val="24"/>
        </w:rPr>
        <w:t xml:space="preserve"> so complicated.</w:t>
      </w:r>
    </w:p>
    <w:p w14:paraId="016B5101" w14:textId="02AD9FE8" w:rsidR="004D21B2" w:rsidRDefault="00C74CCB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the Good Samaritan law was first enacted, the drug supply was not tainted with fentanyl like it is today. </w:t>
      </w:r>
      <w:r w:rsidR="004D21B2">
        <w:rPr>
          <w:rFonts w:ascii="Times" w:hAnsi="Times"/>
          <w:sz w:val="24"/>
          <w:szCs w:val="24"/>
        </w:rPr>
        <w:t xml:space="preserve">The main </w:t>
      </w:r>
      <w:r>
        <w:rPr>
          <w:rFonts w:ascii="Times" w:hAnsi="Times"/>
          <w:sz w:val="24"/>
          <w:szCs w:val="24"/>
        </w:rPr>
        <w:t xml:space="preserve">cause of overdose </w:t>
      </w:r>
      <w:r w:rsidR="004D21B2">
        <w:rPr>
          <w:rFonts w:ascii="Times" w:hAnsi="Times"/>
          <w:sz w:val="24"/>
          <w:szCs w:val="24"/>
        </w:rPr>
        <w:t xml:space="preserve">in NC is </w:t>
      </w:r>
      <w:r w:rsidR="00107272">
        <w:rPr>
          <w:rFonts w:ascii="Times" w:hAnsi="Times"/>
          <w:sz w:val="24"/>
          <w:szCs w:val="24"/>
        </w:rPr>
        <w:t xml:space="preserve">now </w:t>
      </w:r>
      <w:r w:rsidR="004D21B2">
        <w:rPr>
          <w:rFonts w:ascii="Times" w:hAnsi="Times"/>
          <w:sz w:val="24"/>
          <w:szCs w:val="24"/>
        </w:rPr>
        <w:t xml:space="preserve">fentanyl, but possession of fentanyl receives no protection under our </w:t>
      </w:r>
      <w:r>
        <w:rPr>
          <w:rFonts w:ascii="Times" w:hAnsi="Times"/>
          <w:sz w:val="24"/>
          <w:szCs w:val="24"/>
        </w:rPr>
        <w:t xml:space="preserve">Good Samaritan </w:t>
      </w:r>
      <w:r w:rsidR="004D21B2">
        <w:rPr>
          <w:rFonts w:ascii="Times" w:hAnsi="Times"/>
          <w:sz w:val="24"/>
          <w:szCs w:val="24"/>
        </w:rPr>
        <w:t>law, serving as a barrier to people calling 911.</w:t>
      </w:r>
      <w:r w:rsidR="00107272">
        <w:rPr>
          <w:rFonts w:ascii="Times" w:hAnsi="Times"/>
          <w:sz w:val="24"/>
          <w:szCs w:val="24"/>
        </w:rPr>
        <w:t xml:space="preserve"> </w:t>
      </w:r>
    </w:p>
    <w:p w14:paraId="7A9E57D7" w14:textId="537E6206" w:rsidR="004D21B2" w:rsidRDefault="004D21B2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Methamphetamine overdose is also on the rise, but possession of methamphetamine receives no protection under our current law</w:t>
      </w:r>
      <w:r w:rsidR="00341285">
        <w:rPr>
          <w:rFonts w:ascii="Times" w:hAnsi="Times"/>
          <w:sz w:val="24"/>
          <w:szCs w:val="24"/>
        </w:rPr>
        <w:t>, serv</w:t>
      </w:r>
      <w:r w:rsidR="00C74CCB">
        <w:rPr>
          <w:rFonts w:ascii="Times" w:hAnsi="Times"/>
          <w:sz w:val="24"/>
          <w:szCs w:val="24"/>
        </w:rPr>
        <w:t>ing</w:t>
      </w:r>
      <w:r w:rsidR="00341285">
        <w:rPr>
          <w:rFonts w:ascii="Times" w:hAnsi="Times"/>
          <w:sz w:val="24"/>
          <w:szCs w:val="24"/>
        </w:rPr>
        <w:t xml:space="preserve"> as a barrier to calling 911. </w:t>
      </w:r>
    </w:p>
    <w:p w14:paraId="2E093AED" w14:textId="40CC5ADD" w:rsidR="002803DA" w:rsidRDefault="002803DA" w:rsidP="002803DA">
      <w:pPr>
        <w:rPr>
          <w:rFonts w:ascii="Times" w:hAnsi="Times"/>
          <w:sz w:val="24"/>
          <w:szCs w:val="24"/>
        </w:rPr>
      </w:pPr>
    </w:p>
    <w:p w14:paraId="77192A5A" w14:textId="4C7C2C03" w:rsidR="002803DA" w:rsidRPr="00F54160" w:rsidRDefault="002803DA" w:rsidP="002803DA">
      <w:pPr>
        <w:rPr>
          <w:rFonts w:ascii="Times" w:hAnsi="Times"/>
          <w:b/>
          <w:bCs/>
          <w:sz w:val="24"/>
          <w:szCs w:val="24"/>
          <w:u w:val="single"/>
        </w:rPr>
      </w:pPr>
      <w:r w:rsidRPr="00F54160">
        <w:rPr>
          <w:rFonts w:ascii="Times" w:hAnsi="Times"/>
          <w:b/>
          <w:bCs/>
          <w:sz w:val="24"/>
          <w:szCs w:val="24"/>
          <w:u w:val="single"/>
        </w:rPr>
        <w:t>Solution</w:t>
      </w:r>
    </w:p>
    <w:p w14:paraId="38AF4ACF" w14:textId="74E96C47" w:rsidR="002700CC" w:rsidRDefault="002803DA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 w:rsidRPr="002700CC">
        <w:rPr>
          <w:rFonts w:ascii="Times" w:hAnsi="Times"/>
          <w:sz w:val="24"/>
          <w:szCs w:val="24"/>
        </w:rPr>
        <w:t>Streamline our Good Samaritan law and adopt common sense protections that many other states have already adopted</w:t>
      </w:r>
      <w:r w:rsidR="009443C7" w:rsidRPr="002700CC">
        <w:rPr>
          <w:rFonts w:ascii="Times" w:hAnsi="Times"/>
          <w:sz w:val="24"/>
          <w:szCs w:val="24"/>
        </w:rPr>
        <w:t xml:space="preserve"> </w:t>
      </w:r>
      <w:r w:rsidR="00E36568">
        <w:rPr>
          <w:rFonts w:ascii="Times" w:hAnsi="Times"/>
          <w:sz w:val="24"/>
          <w:szCs w:val="24"/>
        </w:rPr>
        <w:t>to</w:t>
      </w:r>
      <w:r w:rsidR="009443C7" w:rsidRPr="002700CC">
        <w:rPr>
          <w:rFonts w:ascii="Times" w:hAnsi="Times"/>
          <w:sz w:val="24"/>
          <w:szCs w:val="24"/>
        </w:rPr>
        <w:t xml:space="preserve"> save lives</w:t>
      </w:r>
      <w:r w:rsidRPr="002700CC">
        <w:rPr>
          <w:rFonts w:ascii="Times" w:hAnsi="Times"/>
          <w:sz w:val="24"/>
          <w:szCs w:val="24"/>
        </w:rPr>
        <w:t xml:space="preserve">. </w:t>
      </w:r>
    </w:p>
    <w:p w14:paraId="39EBCAAE" w14:textId="0F8EC515" w:rsidR="004D21B2" w:rsidRDefault="004D21B2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Provid</w:t>
      </w:r>
      <w:r w:rsidR="00107272">
        <w:rPr>
          <w:rFonts w:ascii="Times" w:hAnsi="Times"/>
          <w:sz w:val="24"/>
          <w:szCs w:val="24"/>
        </w:rPr>
        <w:t xml:space="preserve">e </w:t>
      </w:r>
      <w:r>
        <w:rPr>
          <w:rFonts w:ascii="Times" w:hAnsi="Times"/>
          <w:sz w:val="24"/>
          <w:szCs w:val="24"/>
        </w:rPr>
        <w:t xml:space="preserve">protection for </w:t>
      </w:r>
      <w:r w:rsidR="00107272">
        <w:rPr>
          <w:rFonts w:ascii="Times" w:hAnsi="Times"/>
          <w:sz w:val="24"/>
          <w:szCs w:val="24"/>
        </w:rPr>
        <w:t xml:space="preserve">all of </w:t>
      </w:r>
      <w:r>
        <w:rPr>
          <w:rFonts w:ascii="Times" w:hAnsi="Times"/>
          <w:sz w:val="24"/>
          <w:szCs w:val="24"/>
        </w:rPr>
        <w:t xml:space="preserve">the types of drugs </w:t>
      </w:r>
      <w:r w:rsidR="00107272">
        <w:rPr>
          <w:rFonts w:ascii="Times" w:hAnsi="Times"/>
          <w:sz w:val="24"/>
          <w:szCs w:val="24"/>
        </w:rPr>
        <w:t xml:space="preserve">that </w:t>
      </w:r>
      <w:r w:rsidR="00C74CCB">
        <w:rPr>
          <w:rFonts w:ascii="Times" w:hAnsi="Times"/>
          <w:sz w:val="24"/>
          <w:szCs w:val="24"/>
        </w:rPr>
        <w:t>may be</w:t>
      </w:r>
      <w:r w:rsidR="0010727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possessed</w:t>
      </w:r>
      <w:r w:rsidR="00C74CCB">
        <w:rPr>
          <w:rFonts w:ascii="Times" w:hAnsi="Times"/>
          <w:sz w:val="24"/>
          <w:szCs w:val="24"/>
        </w:rPr>
        <w:t>, as the majority of other states do</w:t>
      </w:r>
      <w:r w:rsidR="00107272">
        <w:rPr>
          <w:rFonts w:ascii="Times" w:hAnsi="Times"/>
          <w:sz w:val="24"/>
          <w:szCs w:val="24"/>
        </w:rPr>
        <w:t>. This</w:t>
      </w:r>
      <w:r>
        <w:rPr>
          <w:rFonts w:ascii="Times" w:hAnsi="Times"/>
          <w:sz w:val="24"/>
          <w:szCs w:val="24"/>
        </w:rPr>
        <w:t xml:space="preserve"> </w:t>
      </w:r>
      <w:r w:rsidR="002D56C7">
        <w:rPr>
          <w:rFonts w:ascii="Times" w:hAnsi="Times"/>
          <w:sz w:val="24"/>
          <w:szCs w:val="24"/>
          <w:u w:val="single"/>
        </w:rPr>
        <w:t>will</w:t>
      </w:r>
      <w:r w:rsidRPr="004D21B2">
        <w:rPr>
          <w:rFonts w:ascii="Times" w:hAnsi="Times"/>
          <w:sz w:val="24"/>
          <w:szCs w:val="24"/>
          <w:u w:val="single"/>
        </w:rPr>
        <w:t xml:space="preserve"> not provide protection for selling drugs</w:t>
      </w:r>
      <w:r>
        <w:rPr>
          <w:rFonts w:ascii="Times" w:hAnsi="Times"/>
          <w:sz w:val="24"/>
          <w:szCs w:val="24"/>
        </w:rPr>
        <w:t xml:space="preserve">. </w:t>
      </w:r>
      <w:r w:rsidR="00107272">
        <w:rPr>
          <w:rFonts w:ascii="Times" w:hAnsi="Times"/>
          <w:sz w:val="24"/>
          <w:szCs w:val="24"/>
        </w:rPr>
        <w:t xml:space="preserve">People will still be able to be arrested and prosecuted </w:t>
      </w:r>
      <w:r>
        <w:rPr>
          <w:rFonts w:ascii="Times" w:hAnsi="Times"/>
          <w:sz w:val="24"/>
          <w:szCs w:val="24"/>
        </w:rPr>
        <w:t xml:space="preserve">for selling drugs and </w:t>
      </w:r>
      <w:r w:rsidR="00107272">
        <w:rPr>
          <w:rFonts w:ascii="Times" w:hAnsi="Times"/>
          <w:sz w:val="24"/>
          <w:szCs w:val="24"/>
        </w:rPr>
        <w:t xml:space="preserve">for </w:t>
      </w:r>
      <w:r>
        <w:rPr>
          <w:rFonts w:ascii="Times" w:hAnsi="Times"/>
          <w:sz w:val="24"/>
          <w:szCs w:val="24"/>
        </w:rPr>
        <w:t xml:space="preserve">possession with intent to sell drugs, among many other crimes.  </w:t>
      </w:r>
    </w:p>
    <w:p w14:paraId="340BCD31" w14:textId="175D4006" w:rsidR="002803DA" w:rsidRPr="00B04644" w:rsidRDefault="002803DA" w:rsidP="002700CC">
      <w:pPr>
        <w:pStyle w:val="ListParagraph"/>
        <w:numPr>
          <w:ilvl w:val="0"/>
          <w:numId w:val="4"/>
        </w:numPr>
        <w:ind w:left="540"/>
        <w:rPr>
          <w:rFonts w:ascii="Times" w:hAnsi="Times"/>
          <w:i/>
          <w:sz w:val="28"/>
          <w:szCs w:val="28"/>
        </w:rPr>
      </w:pPr>
      <w:r w:rsidRPr="002700CC">
        <w:rPr>
          <w:rFonts w:ascii="Times" w:hAnsi="Times"/>
          <w:sz w:val="24"/>
          <w:szCs w:val="24"/>
        </w:rPr>
        <w:t xml:space="preserve">Allow us to advertise this simple message: </w:t>
      </w:r>
      <w:r w:rsidRPr="00B04644">
        <w:rPr>
          <w:rFonts w:ascii="Times" w:hAnsi="Times"/>
          <w:i/>
          <w:sz w:val="28"/>
          <w:szCs w:val="28"/>
        </w:rPr>
        <w:t>“</w:t>
      </w:r>
      <w:r w:rsidRPr="00B04644">
        <w:rPr>
          <w:rFonts w:ascii="Times" w:hAnsi="Times"/>
          <w:i/>
          <w:iCs/>
          <w:sz w:val="28"/>
          <w:szCs w:val="28"/>
        </w:rPr>
        <w:t>If you or someone you’re with calls 911 in good faith to get help for someone who has overdosed, you will be protected from arrest for drug possession and drug paraphernalia</w:t>
      </w:r>
      <w:r w:rsidRPr="00B04644">
        <w:rPr>
          <w:rFonts w:ascii="Times" w:hAnsi="Times"/>
          <w:i/>
          <w:sz w:val="28"/>
          <w:szCs w:val="28"/>
        </w:rPr>
        <w:t xml:space="preserve">.” </w:t>
      </w:r>
    </w:p>
    <w:p w14:paraId="5843BC12" w14:textId="77777777" w:rsidR="00720CF3" w:rsidRPr="00720CF3" w:rsidRDefault="00720CF3" w:rsidP="00720CF3">
      <w:pPr>
        <w:rPr>
          <w:rFonts w:ascii="Times" w:hAnsi="Times"/>
          <w:sz w:val="24"/>
          <w:szCs w:val="24"/>
        </w:rPr>
      </w:pPr>
    </w:p>
    <w:p w14:paraId="7AC6B49C" w14:textId="52B1499A" w:rsidR="002803DA" w:rsidRDefault="002803DA" w:rsidP="002803DA">
      <w:pPr>
        <w:rPr>
          <w:rFonts w:ascii="Times" w:hAnsi="Times"/>
          <w:sz w:val="24"/>
          <w:szCs w:val="24"/>
        </w:rPr>
      </w:pPr>
    </w:p>
    <w:tbl>
      <w:tblPr>
        <w:tblStyle w:val="GridTable2"/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6918"/>
        <w:gridCol w:w="2083"/>
      </w:tblGrid>
      <w:tr w:rsidR="002803DA" w:rsidRPr="00861F33" w14:paraId="0DB2CE6D" w14:textId="77777777" w:rsidTr="0072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3FB827" w14:textId="137F662B" w:rsidR="002803DA" w:rsidRPr="002803DA" w:rsidRDefault="00F54160" w:rsidP="002803DA">
            <w:pPr>
              <w:spacing w:before="120" w:after="120"/>
            </w:pPr>
            <w:r>
              <w:t xml:space="preserve">To </w:t>
            </w:r>
            <w:r w:rsidR="004D21B2">
              <w:t>strengthen our law,</w:t>
            </w:r>
            <w:r>
              <w:t xml:space="preserve"> we need to: 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14:paraId="3788946C" w14:textId="77777777" w:rsidR="002803DA" w:rsidRPr="00861F33" w:rsidRDefault="002803DA" w:rsidP="002803D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61F33">
              <w:rPr>
                <w:b w:val="0"/>
                <w:bCs w:val="0"/>
              </w:rPr>
              <w:t xml:space="preserve">States with similar provisions include: </w:t>
            </w:r>
          </w:p>
        </w:tc>
      </w:tr>
      <w:tr w:rsidR="002803DA" w:rsidRPr="00861F33" w14:paraId="70E8B89E" w14:textId="77777777" w:rsidTr="0072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  <w:vAlign w:val="center"/>
          </w:tcPr>
          <w:p w14:paraId="7D8E0423" w14:textId="0A379580" w:rsidR="002803DA" w:rsidRPr="00861F33" w:rsidRDefault="002803DA" w:rsidP="002803DA">
            <w:pPr>
              <w:spacing w:before="120" w:after="120"/>
              <w:jc w:val="center"/>
            </w:pPr>
            <w:r>
              <w:t xml:space="preserve">1. </w:t>
            </w:r>
          </w:p>
        </w:tc>
        <w:tc>
          <w:tcPr>
            <w:tcW w:w="6917" w:type="dxa"/>
          </w:tcPr>
          <w:p w14:paraId="1FA5E140" w14:textId="5DB96CAA" w:rsidR="002803DA" w:rsidRPr="00861F33" w:rsidRDefault="002803DA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F33">
              <w:t xml:space="preserve">Join the </w:t>
            </w:r>
            <w:r w:rsidRPr="00720CF3">
              <w:rPr>
                <w:b/>
              </w:rPr>
              <w:t>majority</w:t>
            </w:r>
            <w:r w:rsidRPr="00861F33">
              <w:t xml:space="preserve"> of states that protect people from arrest, charge, and prosecution instead of just prosecution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39BF09D3" w14:textId="77777777" w:rsidR="002803DA" w:rsidRPr="00861F33" w:rsidRDefault="002803DA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F33">
              <w:t>GA and TN</w:t>
            </w:r>
          </w:p>
        </w:tc>
      </w:tr>
      <w:tr w:rsidR="00720CF3" w:rsidRPr="00861F33" w14:paraId="1F3FE1C1" w14:textId="77777777" w:rsidTr="00720CF3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  <w:vAlign w:val="center"/>
          </w:tcPr>
          <w:p w14:paraId="0D37ED31" w14:textId="36D9C15D" w:rsidR="00720CF3" w:rsidRPr="00861F33" w:rsidRDefault="00720CF3" w:rsidP="002803DA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917" w:type="dxa"/>
          </w:tcPr>
          <w:p w14:paraId="2AFF84DA" w14:textId="721E2533" w:rsidR="00720CF3" w:rsidRPr="00861F33" w:rsidRDefault="00720CF3" w:rsidP="00EF12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F33">
              <w:t xml:space="preserve">Join the </w:t>
            </w:r>
            <w:r w:rsidRPr="00720CF3">
              <w:rPr>
                <w:b/>
              </w:rPr>
              <w:t>majority</w:t>
            </w:r>
            <w:r w:rsidRPr="00861F33">
              <w:t xml:space="preserve"> of states that apply immunity to drug possession charges broadly without carve-outs for type of drug or weight 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279877FD" w14:textId="768E223B" w:rsidR="00720CF3" w:rsidRPr="00861F33" w:rsidRDefault="00720CF3" w:rsidP="002803D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</w:t>
            </w:r>
            <w:r w:rsidRPr="00861F33">
              <w:t xml:space="preserve"> and TN</w:t>
            </w:r>
          </w:p>
        </w:tc>
      </w:tr>
      <w:tr w:rsidR="00720CF3" w:rsidRPr="00861F33" w14:paraId="6D55F707" w14:textId="77777777" w:rsidTr="0072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  <w:vAlign w:val="center"/>
          </w:tcPr>
          <w:p w14:paraId="68902D37" w14:textId="419894E2" w:rsidR="00720CF3" w:rsidRPr="00861F33" w:rsidRDefault="00720CF3" w:rsidP="002803DA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6917" w:type="dxa"/>
          </w:tcPr>
          <w:p w14:paraId="70C46F78" w14:textId="42727815" w:rsidR="00720CF3" w:rsidRPr="00861F33" w:rsidRDefault="00720CF3" w:rsidP="002700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F33">
              <w:t xml:space="preserve">Join </w:t>
            </w:r>
            <w:r>
              <w:t xml:space="preserve">the </w:t>
            </w:r>
            <w:r w:rsidRPr="00720CF3">
              <w:rPr>
                <w:b/>
              </w:rPr>
              <w:t>majority</w:t>
            </w:r>
            <w:r>
              <w:t xml:space="preserve"> of</w:t>
            </w:r>
            <w:r w:rsidRPr="00861F33">
              <w:t xml:space="preserve"> states that clearly cover overdose victims calling 911 on their own behalf 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58B4982F" w14:textId="77777777" w:rsidR="00720CF3" w:rsidRDefault="00720CF3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GA, </w:t>
            </w:r>
            <w:r w:rsidRPr="00861F33">
              <w:t>KY</w:t>
            </w:r>
            <w:r>
              <w:t>,</w:t>
            </w:r>
            <w:r w:rsidRPr="00861F33">
              <w:t xml:space="preserve"> TN</w:t>
            </w:r>
            <w:r>
              <w:t>, and</w:t>
            </w:r>
          </w:p>
          <w:p w14:paraId="3AF53DF0" w14:textId="4A3BEC8A" w:rsidR="00720CF3" w:rsidRPr="00861F33" w:rsidRDefault="00720CF3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</w:t>
            </w:r>
          </w:p>
        </w:tc>
      </w:tr>
      <w:tr w:rsidR="00720CF3" w:rsidRPr="00861F33" w14:paraId="080ECD5F" w14:textId="77777777" w:rsidTr="00720CF3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  <w:vAlign w:val="center"/>
          </w:tcPr>
          <w:p w14:paraId="3144531C" w14:textId="7BD9A46D" w:rsidR="00720CF3" w:rsidRPr="00861F33" w:rsidRDefault="00720CF3" w:rsidP="002803DA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917" w:type="dxa"/>
          </w:tcPr>
          <w:p w14:paraId="15F2B564" w14:textId="56EDC3D0" w:rsidR="00720CF3" w:rsidRPr="00861F33" w:rsidRDefault="00720CF3" w:rsidP="002803D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F33">
              <w:t>Join</w:t>
            </w:r>
            <w:r>
              <w:t xml:space="preserve"> </w:t>
            </w:r>
            <w:r w:rsidR="00A2421E">
              <w:t xml:space="preserve">the many </w:t>
            </w:r>
            <w:r>
              <w:t>states</w:t>
            </w:r>
            <w:r w:rsidRPr="00861F33">
              <w:t xml:space="preserve"> that extend immunity to other people at the sce</w:t>
            </w:r>
            <w:r>
              <w:t>ne—</w:t>
            </w:r>
            <w:r w:rsidRPr="00861F33">
              <w:t>and not just the person who called 911</w:t>
            </w:r>
            <w:r>
              <w:t xml:space="preserve"> (</w:t>
            </w:r>
            <w:r w:rsidRPr="00861F33">
              <w:t xml:space="preserve">in accordance with </w:t>
            </w:r>
            <w:r w:rsidRPr="00B04644">
              <w:rPr>
                <w:b/>
                <w:bCs/>
              </w:rPr>
              <w:t>CDC recommendations</w:t>
            </w:r>
            <w:r>
              <w:t>)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1B257BE5" w14:textId="162E2F69" w:rsidR="00720CF3" w:rsidRPr="00861F33" w:rsidRDefault="00720CF3" w:rsidP="002803D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GA, KY, and TN</w:t>
            </w:r>
          </w:p>
        </w:tc>
      </w:tr>
      <w:tr w:rsidR="00720CF3" w:rsidRPr="00861F33" w14:paraId="0004CB7E" w14:textId="77777777" w:rsidTr="00A4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7FA53" w14:textId="183BE5A7" w:rsidR="00720CF3" w:rsidRPr="00861F33" w:rsidRDefault="00720CF3" w:rsidP="002803DA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AE96C6F" w14:textId="5DFA937A" w:rsidR="00720CF3" w:rsidRPr="00861F33" w:rsidRDefault="00720CF3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protections for calling campus security to incentivize scared students to call for help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27F1BDA3" w14:textId="73DE88AC" w:rsidR="00720CF3" w:rsidRPr="00861F33" w:rsidRDefault="00720CF3" w:rsidP="002803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</w:t>
            </w:r>
            <w:r w:rsidRPr="00861F33">
              <w:t xml:space="preserve"> and </w:t>
            </w:r>
            <w:r>
              <w:t>PA</w:t>
            </w:r>
          </w:p>
        </w:tc>
      </w:tr>
    </w:tbl>
    <w:p w14:paraId="4AB4D8BF" w14:textId="5B495AAD" w:rsidR="002803DA" w:rsidRPr="00F54160" w:rsidRDefault="002803DA" w:rsidP="002700CC">
      <w:pPr>
        <w:rPr>
          <w:rFonts w:ascii="Times" w:hAnsi="Times"/>
          <w:sz w:val="24"/>
          <w:szCs w:val="24"/>
        </w:rPr>
      </w:pPr>
    </w:p>
    <w:sectPr w:rsidR="002803DA" w:rsidRPr="00F54160" w:rsidSect="004C44E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78C1"/>
    <w:multiLevelType w:val="hybridMultilevel"/>
    <w:tmpl w:val="A260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1BA5"/>
    <w:multiLevelType w:val="hybridMultilevel"/>
    <w:tmpl w:val="83C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2C7"/>
    <w:multiLevelType w:val="hybridMultilevel"/>
    <w:tmpl w:val="18D87A0A"/>
    <w:lvl w:ilvl="0" w:tplc="70C6D1DE">
      <w:numFmt w:val="bullet"/>
      <w:lvlText w:val="•"/>
      <w:lvlJc w:val="left"/>
      <w:pPr>
        <w:ind w:left="633" w:hanging="32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C17C3D6A">
      <w:numFmt w:val="bullet"/>
      <w:lvlText w:val="•"/>
      <w:lvlJc w:val="left"/>
      <w:pPr>
        <w:ind w:left="1664" w:hanging="320"/>
      </w:pPr>
      <w:rPr>
        <w:rFonts w:hint="default"/>
      </w:rPr>
    </w:lvl>
    <w:lvl w:ilvl="2" w:tplc="746E3C38">
      <w:numFmt w:val="bullet"/>
      <w:lvlText w:val="•"/>
      <w:lvlJc w:val="left"/>
      <w:pPr>
        <w:ind w:left="2688" w:hanging="320"/>
      </w:pPr>
      <w:rPr>
        <w:rFonts w:hint="default"/>
      </w:rPr>
    </w:lvl>
    <w:lvl w:ilvl="3" w:tplc="C3AAFBEC">
      <w:numFmt w:val="bullet"/>
      <w:lvlText w:val="•"/>
      <w:lvlJc w:val="left"/>
      <w:pPr>
        <w:ind w:left="3712" w:hanging="320"/>
      </w:pPr>
      <w:rPr>
        <w:rFonts w:hint="default"/>
      </w:rPr>
    </w:lvl>
    <w:lvl w:ilvl="4" w:tplc="41ACB230">
      <w:numFmt w:val="bullet"/>
      <w:lvlText w:val="•"/>
      <w:lvlJc w:val="left"/>
      <w:pPr>
        <w:ind w:left="4736" w:hanging="320"/>
      </w:pPr>
      <w:rPr>
        <w:rFonts w:hint="default"/>
      </w:rPr>
    </w:lvl>
    <w:lvl w:ilvl="5" w:tplc="8694772E">
      <w:numFmt w:val="bullet"/>
      <w:lvlText w:val="•"/>
      <w:lvlJc w:val="left"/>
      <w:pPr>
        <w:ind w:left="5760" w:hanging="320"/>
      </w:pPr>
      <w:rPr>
        <w:rFonts w:hint="default"/>
      </w:rPr>
    </w:lvl>
    <w:lvl w:ilvl="6" w:tplc="BB4CCBA6">
      <w:numFmt w:val="bullet"/>
      <w:lvlText w:val="•"/>
      <w:lvlJc w:val="left"/>
      <w:pPr>
        <w:ind w:left="6784" w:hanging="320"/>
      </w:pPr>
      <w:rPr>
        <w:rFonts w:hint="default"/>
      </w:rPr>
    </w:lvl>
    <w:lvl w:ilvl="7" w:tplc="395AB752">
      <w:numFmt w:val="bullet"/>
      <w:lvlText w:val="•"/>
      <w:lvlJc w:val="left"/>
      <w:pPr>
        <w:ind w:left="7808" w:hanging="320"/>
      </w:pPr>
      <w:rPr>
        <w:rFonts w:hint="default"/>
      </w:rPr>
    </w:lvl>
    <w:lvl w:ilvl="8" w:tplc="378ECC70">
      <w:numFmt w:val="bullet"/>
      <w:lvlText w:val="•"/>
      <w:lvlJc w:val="left"/>
      <w:pPr>
        <w:ind w:left="8832" w:hanging="320"/>
      </w:pPr>
      <w:rPr>
        <w:rFonts w:hint="default"/>
      </w:rPr>
    </w:lvl>
  </w:abstractNum>
  <w:abstractNum w:abstractNumId="3" w15:restartNumberingAfterBreak="0">
    <w:nsid w:val="7CDC611D"/>
    <w:multiLevelType w:val="hybridMultilevel"/>
    <w:tmpl w:val="E02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4E"/>
    <w:rsid w:val="00107272"/>
    <w:rsid w:val="00163DB7"/>
    <w:rsid w:val="002700CC"/>
    <w:rsid w:val="002803DA"/>
    <w:rsid w:val="002D56C7"/>
    <w:rsid w:val="003146E7"/>
    <w:rsid w:val="00341285"/>
    <w:rsid w:val="0039170A"/>
    <w:rsid w:val="003D4F73"/>
    <w:rsid w:val="004C44E4"/>
    <w:rsid w:val="004D21B2"/>
    <w:rsid w:val="006C1EFC"/>
    <w:rsid w:val="00720CF3"/>
    <w:rsid w:val="00767A85"/>
    <w:rsid w:val="0086764E"/>
    <w:rsid w:val="009443C7"/>
    <w:rsid w:val="009C7C2A"/>
    <w:rsid w:val="009D74CC"/>
    <w:rsid w:val="00A2421E"/>
    <w:rsid w:val="00A43B08"/>
    <w:rsid w:val="00AB329C"/>
    <w:rsid w:val="00B04644"/>
    <w:rsid w:val="00C74CCB"/>
    <w:rsid w:val="00E36568"/>
    <w:rsid w:val="00ED4C5D"/>
    <w:rsid w:val="00EF12F5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5816"/>
  <w15:docId w15:val="{27A5F8A0-B8B0-B042-89E9-9659663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13"/>
    </w:pPr>
    <w:rPr>
      <w:rFonts w:ascii="Arial Black" w:eastAsia="Arial Black" w:hAnsi="Arial Black" w:cs="Arial Black"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18"/>
      <w:ind w:left="633" w:hanging="3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9"/>
    </w:pPr>
  </w:style>
  <w:style w:type="table" w:styleId="GridTable2">
    <w:name w:val="Grid Table 2"/>
    <w:basedOn w:val="TableNormal"/>
    <w:uiPriority w:val="47"/>
    <w:rsid w:val="002803DA"/>
    <w:pPr>
      <w:widowControl/>
      <w:autoSpaceDE/>
      <w:autoSpaceDN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F5416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4160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F54160"/>
    <w:rPr>
      <w:color w:val="211D1E"/>
      <w:sz w:val="20"/>
      <w:szCs w:val="20"/>
    </w:rPr>
  </w:style>
  <w:style w:type="character" w:customStyle="1" w:styleId="A10">
    <w:name w:val="A10"/>
    <w:uiPriority w:val="99"/>
    <w:rsid w:val="00F54160"/>
    <w:rPr>
      <w:rFonts w:ascii="Arial Black" w:hAnsi="Arial Black" w:cs="Arial Black"/>
      <w:b/>
      <w:bCs/>
      <w:color w:val="4880B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Anna H</dc:creator>
  <cp:lastModifiedBy>Anna Stein</cp:lastModifiedBy>
  <cp:revision>2</cp:revision>
  <cp:lastPrinted>2021-02-17T03:07:00Z</cp:lastPrinted>
  <dcterms:created xsi:type="dcterms:W3CDTF">2021-05-08T21:23:00Z</dcterms:created>
  <dcterms:modified xsi:type="dcterms:W3CDTF">2021-05-08T21:23:00Z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2021-02-17T00:00:00Z</vt:filetime>
  </property>
</Properties>
</file>